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0795.0" w:type="dxa"/>
        <w:jc w:val="left"/>
        <w:tblInd w:w="-39.0" w:type="dxa"/>
        <w:tblLayout w:type="fixed"/>
        <w:tblLook w:val="0000"/>
      </w:tblPr>
      <w:tblGrid>
        <w:gridCol w:w="3251"/>
        <w:gridCol w:w="4536"/>
        <w:gridCol w:w="3008"/>
        <w:tblGridChange w:id="0">
          <w:tblGrid>
            <w:gridCol w:w="3251"/>
            <w:gridCol w:w="4536"/>
            <w:gridCol w:w="3008"/>
          </w:tblGrid>
        </w:tblGridChange>
      </w:tblGrid>
      <w:tr>
        <w:trPr>
          <w:cantSplit w:val="0"/>
          <w:trHeight w:val="360" w:hRule="atLeast"/>
          <w:tblHeader w:val="0"/>
        </w:trPr>
        <w:tc>
          <w:tcPr>
            <w:tcBorders>
              <w:top w:color="000001" w:space="0" w:sz="6" w:val="single"/>
              <w:left w:color="000001" w:space="0" w:sz="6" w:val="single"/>
              <w:bottom w:color="000001" w:space="0" w:sz="6" w:val="single"/>
            </w:tcBorders>
            <w:shd w:fill="auto" w:val="clear"/>
            <w:vAlign w:val="center"/>
          </w:tcPr>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8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81200" cy="523875"/>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81200" cy="523875"/>
                          </a:xfrm>
                          <a:prstGeom prst="rect"/>
                          <a:ln/>
                        </pic:spPr>
                      </pic:pic>
                    </a:graphicData>
                  </a:graphic>
                </wp:inline>
              </w:drawing>
            </w:r>
            <w:r w:rsidDel="00000000" w:rsidR="00000000" w:rsidRPr="00000000">
              <w:rPr>
                <w:rtl w:val="0"/>
              </w:rPr>
            </w:r>
          </w:p>
        </w:tc>
        <w:tc>
          <w:tcPr>
            <w:tcBorders>
              <w:top w:color="000001" w:space="0" w:sz="6" w:val="single"/>
              <w:left w:color="000001" w:space="0" w:sz="6" w:val="single"/>
              <w:bottom w:color="000001" w:space="0" w:sz="6" w:val="single"/>
            </w:tcBorders>
            <w:shd w:fill="auto" w:val="clear"/>
            <w:vAlign w:val="center"/>
          </w:tcPr>
          <w:p w:rsidR="00000000" w:rsidDel="00000000" w:rsidP="00000000" w:rsidRDefault="00000000" w:rsidRPr="00000000" w14:paraId="00000003">
            <w:pPr>
              <w:keepNext w:val="1"/>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s>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Universidade Federal Fluminense</w:t>
            </w: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5300" cy="581025"/>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95300" cy="581025"/>
                          </a:xfrm>
                          <a:prstGeom prst="rect"/>
                          <a:ln/>
                        </pic:spPr>
                      </pic:pic>
                    </a:graphicData>
                  </a:graphic>
                </wp:inline>
              </w:drawing>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76350" cy="561975"/>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276350" cy="561975"/>
                          </a:xfrm>
                          <a:prstGeom prst="rect"/>
                          <a:ln/>
                        </pic:spPr>
                      </pic:pic>
                    </a:graphicData>
                  </a:graphic>
                </wp:inline>
              </w:drawing>
            </w:r>
            <w:r w:rsidDel="00000000" w:rsidR="00000000" w:rsidRPr="00000000">
              <w:rPr>
                <w:rtl w:val="0"/>
              </w:rPr>
            </w:r>
          </w:p>
        </w:tc>
      </w:tr>
      <w:tr>
        <w:trPr>
          <w:cantSplit w:val="0"/>
          <w:trHeight w:val="540" w:hRule="atLeast"/>
          <w:tblHeader w:val="0"/>
        </w:trPr>
        <w:tc>
          <w:tcPr>
            <w:gridSpan w:val="3"/>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PLANO DE CURSO DE CAPACITAÇÃO 202</w:t>
            </w:r>
            <w:r w:rsidDel="00000000" w:rsidR="00000000" w:rsidRPr="00000000">
              <w:rPr>
                <w:rFonts w:ascii="Times New Roman" w:cs="Times New Roman" w:eastAsia="Times New Roman" w:hAnsi="Times New Roman"/>
                <w:b w:val="1"/>
                <w:smallCaps w:val="1"/>
                <w:sz w:val="24"/>
                <w:szCs w:val="24"/>
                <w:rtl w:val="0"/>
              </w:rPr>
              <w:t xml:space="preserve">4</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 USO DO SEI-UFF</w:t>
      </w:r>
      <w:r w:rsidDel="00000000" w:rsidR="00000000" w:rsidRPr="00000000">
        <w:rPr>
          <w:rtl w:val="0"/>
        </w:rPr>
      </w:r>
    </w:p>
    <w:tbl>
      <w:tblPr>
        <w:tblStyle w:val="Table2"/>
        <w:tblW w:w="10680.0" w:type="dxa"/>
        <w:jc w:val="left"/>
        <w:tblInd w:w="-34.0" w:type="dxa"/>
        <w:tblLayout w:type="fixed"/>
        <w:tblLook w:val="0000"/>
      </w:tblPr>
      <w:tblGrid>
        <w:gridCol w:w="3975"/>
        <w:gridCol w:w="6705"/>
        <w:tblGridChange w:id="0">
          <w:tblGrid>
            <w:gridCol w:w="3975"/>
            <w:gridCol w:w="6705"/>
          </w:tblGrid>
        </w:tblGridChange>
      </w:tblGrid>
      <w:tr>
        <w:trPr>
          <w:cantSplit w:val="0"/>
          <w:trHeight w:val="440"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UFF</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Organizacional</w:t>
            </w:r>
          </w:p>
        </w:tc>
      </w:tr>
      <w:tr>
        <w:trPr>
          <w:cantSplit w:val="0"/>
          <w:trHeight w:val="440"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Modalidade: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Remoto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Carga Horária: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horas </w:t>
            </w:r>
          </w:p>
        </w:tc>
      </w:tr>
      <w:tr>
        <w:trPr>
          <w:cantSplit w:val="0"/>
          <w:trHeight w:val="500"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ríodo do curso: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sz w:val="24"/>
                <w:szCs w:val="24"/>
                <w:rtl w:val="0"/>
              </w:rPr>
              <w:t xml:space="preserve">27/03/2024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Horário do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encontros síncronos serão realizados nas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seguintes datas e horários:</w:t>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12/03</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- 14:00 às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:00 (Primeiro encontro)</w:t>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15/03</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- 14:00 às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:00 (Segundo encontro)</w:t>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21/03</w:t>
            </w:r>
            <w:r w:rsidDel="00000000" w:rsidR="00000000" w:rsidRPr="00000000">
              <w:rPr>
                <w:rFonts w:ascii="Times New Roman" w:cs="Times New Roman" w:eastAsia="Times New Roman" w:hAnsi="Times New Roman"/>
                <w:sz w:val="24"/>
                <w:szCs w:val="24"/>
                <w:rtl w:val="0"/>
              </w:rPr>
              <w:t xml:space="preserve"> - 14:00 às 16:00 (Terceiro encontro)</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Atividades programadas para os participantes:</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11/03</w:t>
            </w:r>
            <w:r w:rsidDel="00000000" w:rsidR="00000000" w:rsidRPr="00000000">
              <w:rPr>
                <w:rFonts w:ascii="Times New Roman" w:cs="Times New Roman" w:eastAsia="Times New Roman" w:hAnsi="Times New Roman"/>
                <w:sz w:val="24"/>
                <w:szCs w:val="24"/>
                <w:rtl w:val="0"/>
              </w:rPr>
              <w:t xml:space="preserve">: Acessar a sala de aula na plataforma Classroom, ler o material disponibilizado na sala e acessar o ambiente de testes do SEI. Tempo estimado: 4 horas.</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12/03 a 21/03</w:t>
            </w:r>
            <w:r w:rsidDel="00000000" w:rsidR="00000000" w:rsidRPr="00000000">
              <w:rPr>
                <w:rFonts w:ascii="Times New Roman" w:cs="Times New Roman" w:eastAsia="Times New Roman" w:hAnsi="Times New Roman"/>
                <w:sz w:val="24"/>
                <w:szCs w:val="24"/>
                <w:rtl w:val="0"/>
              </w:rPr>
              <w:t xml:space="preserve">: Participar dos três encontros síncronos e/ou assistir às aulas gravadas que serão disponibilizadas na sala do curso. Tempo estimado: 6 horas.</w:t>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12/03 a 26/03</w:t>
            </w:r>
            <w:r w:rsidDel="00000000" w:rsidR="00000000" w:rsidRPr="00000000">
              <w:rPr>
                <w:rFonts w:ascii="Times New Roman" w:cs="Times New Roman" w:eastAsia="Times New Roman" w:hAnsi="Times New Roman"/>
                <w:sz w:val="24"/>
                <w:szCs w:val="24"/>
                <w:rtl w:val="0"/>
              </w:rPr>
              <w:t xml:space="preserve">: Realizar os exercícios práticos propostos ao final de cada aula (atividades assíncronas). Tempo estimado: 6 horas.</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12/03 a 27/03</w:t>
            </w:r>
            <w:r w:rsidDel="00000000" w:rsidR="00000000" w:rsidRPr="00000000">
              <w:rPr>
                <w:rFonts w:ascii="Times New Roman" w:cs="Times New Roman" w:eastAsia="Times New Roman" w:hAnsi="Times New Roman"/>
                <w:sz w:val="24"/>
                <w:szCs w:val="24"/>
                <w:rtl w:val="0"/>
              </w:rPr>
              <w:t xml:space="preserve">: Acompanhar a correção de exercícios e o fórum de dúvidas sobre o SEI. Tempo estimado: 4 horas.</w:t>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Plataforma Google Classroom, </w:t>
            </w:r>
            <w:r w:rsidDel="00000000" w:rsidR="00000000" w:rsidRPr="00000000">
              <w:rPr>
                <w:rFonts w:ascii="Times New Roman" w:cs="Times New Roman" w:eastAsia="Times New Roman" w:hAnsi="Times New Roman"/>
                <w:sz w:val="24"/>
                <w:szCs w:val="24"/>
                <w:rtl w:val="0"/>
              </w:rPr>
              <w:t xml:space="preserve">Ambiente Virtual de Testes do SEI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Google Me</w:t>
            </w:r>
            <w:r w:rsidDel="00000000" w:rsidR="00000000" w:rsidRPr="00000000">
              <w:rPr>
                <w:rFonts w:ascii="Times New Roman" w:cs="Times New Roman" w:eastAsia="Times New Roman" w:hAnsi="Times New Roman"/>
                <w:sz w:val="24"/>
                <w:szCs w:val="24"/>
                <w:rtl w:val="0"/>
              </w:rPr>
              <w:t xml:space="preserve">et</w:t>
            </w:r>
            <w:r w:rsidDel="00000000" w:rsidR="00000000" w:rsidRPr="00000000">
              <w:rPr>
                <w:rtl w:val="0"/>
              </w:rPr>
            </w:r>
          </w:p>
        </w:tc>
      </w:tr>
      <w:tr>
        <w:trPr>
          <w:cantSplit w:val="0"/>
          <w:trHeight w:val="440" w:hRule="atLeast"/>
          <w:tblHeader w:val="0"/>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Público alvo: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Servidores </w:t>
            </w:r>
            <w:r w:rsidDel="00000000" w:rsidR="00000000" w:rsidRPr="00000000">
              <w:rPr>
                <w:rFonts w:ascii="Times New Roman" w:cs="Times New Roman" w:eastAsia="Times New Roman" w:hAnsi="Times New Roman"/>
                <w:color w:val="222222"/>
                <w:sz w:val="24"/>
                <w:szCs w:val="24"/>
                <w:highlight w:val="white"/>
                <w:rtl w:val="0"/>
              </w:rPr>
              <w:t xml:space="preserve">docentes e técnicos administrativos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em exercício na UFF</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tc>
      </w:tr>
      <w:tr>
        <w:trPr>
          <w:cantSplit w:val="0"/>
          <w:trHeight w:val="440" w:hRule="atLeast"/>
          <w:tblHeader w:val="0"/>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Pré-requisitos: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computador ou smartphone com acesso à internet. Possuir e-mail institucional @id.uff.br e conhecimentos básicos </w:t>
            </w:r>
            <w:r w:rsidDel="00000000" w:rsidR="00000000" w:rsidRPr="00000000">
              <w:rPr>
                <w:rFonts w:ascii="Times New Roman" w:cs="Times New Roman" w:eastAsia="Times New Roman" w:hAnsi="Times New Roman"/>
                <w:sz w:val="24"/>
                <w:szCs w:val="24"/>
                <w:rtl w:val="0"/>
              </w:rPr>
              <w:t xml:space="preserve">de informática.</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ados do(a) Instrutor(a) </w:t>
      </w:r>
      <w:r w:rsidDel="00000000" w:rsidR="00000000" w:rsidRPr="00000000">
        <w:rPr>
          <w:rtl w:val="0"/>
        </w:rPr>
      </w:r>
    </w:p>
    <w:tbl>
      <w:tblPr>
        <w:tblStyle w:val="Table3"/>
        <w:tblW w:w="10804.0" w:type="dxa"/>
        <w:jc w:val="left"/>
        <w:tblInd w:w="-86.0" w:type="dxa"/>
        <w:tblLayout w:type="fixed"/>
        <w:tblLook w:val="0000"/>
      </w:tblPr>
      <w:tblGrid>
        <w:gridCol w:w="10804"/>
        <w:tblGridChange w:id="0">
          <w:tblGrid>
            <w:gridCol w:w="10804"/>
          </w:tblGrid>
        </w:tblGridChange>
      </w:tblGrid>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Pr>
          <w:p w:rsidR="00000000" w:rsidDel="00000000" w:rsidP="00000000" w:rsidRDefault="00000000" w:rsidRPr="00000000" w14:paraId="00000024">
            <w:pPr>
              <w:spacing w:after="120" w:before="120" w:line="240" w:lineRule="auto"/>
              <w:jc w:val="both"/>
              <w:rPr/>
            </w:pPr>
            <w:r w:rsidDel="00000000" w:rsidR="00000000" w:rsidRPr="00000000">
              <w:rPr>
                <w:rFonts w:ascii="Times New Roman" w:cs="Times New Roman" w:eastAsia="Times New Roman" w:hAnsi="Times New Roman"/>
                <w:sz w:val="24"/>
                <w:szCs w:val="24"/>
                <w:rtl w:val="0"/>
              </w:rPr>
              <w:t xml:space="preserve">Instrutor(a): Tielle da Silva Alexandre </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do Curso</w:t>
      </w:r>
      <w:r w:rsidDel="00000000" w:rsidR="00000000" w:rsidRPr="00000000">
        <w:rPr>
          <w:rtl w:val="0"/>
        </w:rPr>
      </w:r>
    </w:p>
    <w:tbl>
      <w:tblPr>
        <w:tblStyle w:val="Table4"/>
        <w:tblW w:w="10772.0" w:type="dxa"/>
        <w:jc w:val="left"/>
        <w:tblInd w:w="-54.0" w:type="dxa"/>
        <w:tblLayout w:type="fixed"/>
        <w:tblLook w:val="0000"/>
      </w:tblPr>
      <w:tblGrid>
        <w:gridCol w:w="10772"/>
        <w:tblGridChange w:id="0">
          <w:tblGrid>
            <w:gridCol w:w="10772"/>
          </w:tblGrid>
        </w:tblGridChange>
      </w:tblGrid>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Pr>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11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Geral:</w:t>
            </w: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Capacitar os servidores da UFF no uso das principais funcionalidades do Sistema Eletrônico de Informações – SEI, com foco prático, para que se</w:t>
            </w:r>
            <w:r w:rsidDel="00000000" w:rsidR="00000000" w:rsidRPr="00000000">
              <w:rPr>
                <w:rFonts w:ascii="Times New Roman" w:cs="Times New Roman" w:eastAsia="Times New Roman" w:hAnsi="Times New Roman"/>
                <w:sz w:val="24"/>
                <w:szCs w:val="24"/>
                <w:highlight w:val="white"/>
                <w:rtl w:val="0"/>
              </w:rPr>
              <w:t xml:space="preserve"> tornem aptos na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utilização</w:t>
            </w:r>
            <w:r w:rsidDel="00000000" w:rsidR="00000000" w:rsidRPr="00000000">
              <w:rPr>
                <w:rFonts w:ascii="Times New Roman" w:cs="Times New Roman" w:eastAsia="Times New Roman" w:hAnsi="Times New Roman"/>
                <w:sz w:val="24"/>
                <w:szCs w:val="24"/>
                <w:highlight w:val="white"/>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sistema</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252"/>
              </w:tabs>
              <w:spacing w:after="200" w:before="0" w:line="276" w:lineRule="auto"/>
              <w:ind w:left="0" w:right="40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Apresentar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servidores da UFF as funcionalidades do SEI </w:t>
            </w:r>
            <w:r w:rsidDel="00000000" w:rsidR="00000000" w:rsidRPr="00000000">
              <w:rPr>
                <w:rFonts w:ascii="Times New Roman" w:cs="Times New Roman" w:eastAsia="Times New Roman" w:hAnsi="Times New Roman"/>
                <w:sz w:val="24"/>
                <w:szCs w:val="24"/>
                <w:rtl w:val="0"/>
              </w:rPr>
              <w:t xml:space="preserve">para a tramitação de processos eletrônicos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Apresentar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aos servidores</w:t>
            </w:r>
            <w:r w:rsidDel="00000000" w:rsidR="00000000" w:rsidRPr="00000000">
              <w:rPr>
                <w:rFonts w:ascii="Times New Roman" w:cs="Times New Roman" w:eastAsia="Times New Roman" w:hAnsi="Times New Roman"/>
                <w:sz w:val="24"/>
                <w:szCs w:val="24"/>
                <w:rtl w:val="0"/>
              </w:rPr>
              <w:t xml:space="preserve"> os materiais disponíveis e o suporte disponível para a tramitação de processos eletrônicos no SEI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714" w:right="0" w:hanging="35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Possibilitar uma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reflexão acerca dos cuidados necessários com a gestão da documentação e com as informações pessoais disponíveis ao público.</w:t>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Conteúdo programático do curso</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794.0" w:type="dxa"/>
        <w:jc w:val="left"/>
        <w:tblInd w:w="-44.0" w:type="dxa"/>
        <w:tblLayout w:type="fixed"/>
        <w:tblLook w:val="0000"/>
      </w:tblPr>
      <w:tblGrid>
        <w:gridCol w:w="10794"/>
        <w:tblGridChange w:id="0">
          <w:tblGrid>
            <w:gridCol w:w="10794"/>
          </w:tblGrid>
        </w:tblGridChange>
      </w:tblGrid>
      <w:tr>
        <w:trPr>
          <w:cantSplit w:val="0"/>
          <w:trHeight w:val="3580"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Introdução ao curso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origem do SEI;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Amparo legal (Legislações referentes ao SEI);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site da UFF;</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Canais de atendimento, comunicação e suporte;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Importância do ajuste de lotação;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Materiais de apoio disponíveis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Funcionalidades básicas do Sistema SEI</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Acesso ao Sistema;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Identificando elementos da Tela inicial do SEI;</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abrir um processo no SEI;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Receber Processos na Unidade;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Atribuir Processos a um Usuário;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Inserir marcadores e anotações;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Acessar Base de Conhecimento;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Editar Textos;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Criar modelos Favoritos;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Dar ciência e assinar;</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Enviar e-mail;</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Utilização do usuário externo.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Operações com Processos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Tipos de Processo;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Processos com Restrição de Acesso;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brir processo existente;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Inserir documentos internos e externos;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Enviar Processos para outra Unidade;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Criar bloco de assinaturas;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Criar bloco de reunião;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Sobrestar Processo;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Relacionar Processos;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Concluir Processos.</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Metodologia</w:t>
      </w:r>
      <w:r w:rsidDel="00000000" w:rsidR="00000000" w:rsidRPr="00000000">
        <w:rPr>
          <w:rtl w:val="0"/>
        </w:rPr>
      </w:r>
    </w:p>
    <w:tbl>
      <w:tblPr>
        <w:tblStyle w:val="Table6"/>
        <w:tblW w:w="10740.0" w:type="dxa"/>
        <w:jc w:val="left"/>
        <w:tblInd w:w="-31.0" w:type="dxa"/>
        <w:tblLayout w:type="fixed"/>
        <w:tblLook w:val="0000"/>
      </w:tblPr>
      <w:tblGrid>
        <w:gridCol w:w="10740"/>
        <w:tblGridChange w:id="0">
          <w:tblGrid>
            <w:gridCol w:w="10740"/>
          </w:tblGrid>
        </w:tblGridChange>
      </w:tblGrid>
      <w:tr>
        <w:trPr>
          <w:cantSplit w:val="0"/>
          <w:tblHeader w:val="0"/>
        </w:trPr>
        <w:tc>
          <w:tcPr>
            <w:tcBorders>
              <w:top w:color="000001" w:space="0" w:sz="6" w:val="single"/>
              <w:left w:color="000001" w:space="0" w:sz="6" w:val="single"/>
              <w:bottom w:color="000001" w:space="0" w:sz="6" w:val="single"/>
              <w:right w:color="000001" w:space="0" w:sz="6" w:val="single"/>
            </w:tcBorders>
            <w:shd w:fill="auto" w:val="clear"/>
          </w:tcPr>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curso será composto por três aulas ministradas de forma remota que abordarão as principais funcionalidades do Sistema Eletrônico de Informação (SEI), utilizando como exemplo os tipos de processos da UFF tramitados nesse sistema. Nas aulas, o conhecimento teórico sobre o sistema (e.g., visão geral, regras de negócio, módulos etc.) será apresentado com o auxílio de slides e a demonstração das funcionalidades do SEI será realizado no ambiente de testes do sistema. </w:t>
            </w:r>
          </w:p>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Três atividades práticas serão disponibilizadas na plataforma Google Classroom para que os participantes pratiquem o conhecimento adquirido nas aulas. O instrutor avaliará individualmente a execução das atividades realizadas pelos participantes no ambiente de testes do SEI e enviará um feedback da atividade na plataforma do Classroom. As dúvidas referentes as atividades e as funcionalidades do SEI deverão ser postadas na plataforma do Classroom.</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 cronograma detalhado das atividades segue abaixo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Até o d</w:t>
            </w:r>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ia </w:t>
            </w:r>
            <w:r w:rsidDel="00000000" w:rsidR="00000000" w:rsidRPr="00000000">
              <w:rPr>
                <w:rFonts w:ascii="Times New Roman" w:cs="Times New Roman" w:eastAsia="Times New Roman" w:hAnsi="Times New Roman"/>
                <w:b w:val="1"/>
                <w:sz w:val="24"/>
                <w:szCs w:val="24"/>
                <w:rtl w:val="0"/>
              </w:rPr>
              <w:t xml:space="preserve">11/03</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disponibilizado o convite de acesso à plataforma Classroom para todos os servidores cadastrados no curso para que possam se ambientar na plataforma e realizar a leitura do material </w:t>
            </w:r>
            <w:r w:rsidDel="00000000" w:rsidR="00000000" w:rsidRPr="00000000">
              <w:rPr>
                <w:rFonts w:ascii="Times New Roman" w:cs="Times New Roman" w:eastAsia="Times New Roman" w:hAnsi="Times New Roman"/>
                <w:sz w:val="24"/>
                <w:szCs w:val="24"/>
                <w:rtl w:val="0"/>
              </w:rPr>
              <w:t xml:space="preserve">disponível.</w:t>
            </w:r>
            <w:r w:rsidDel="00000000" w:rsidR="00000000" w:rsidRPr="00000000">
              <w:rPr>
                <w:rtl w:val="0"/>
              </w:rPr>
            </w:r>
          </w:p>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No d</w:t>
            </w:r>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ia </w:t>
            </w:r>
            <w:r w:rsidDel="00000000" w:rsidR="00000000" w:rsidRPr="00000000">
              <w:rPr>
                <w:rFonts w:ascii="Times New Roman" w:cs="Times New Roman" w:eastAsia="Times New Roman" w:hAnsi="Times New Roman"/>
                <w:b w:val="1"/>
                <w:sz w:val="24"/>
                <w:szCs w:val="24"/>
                <w:rtl w:val="0"/>
              </w:rPr>
              <w:t xml:space="preserve">12/03,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os </w:t>
            </w:r>
            <w:r w:rsidDel="00000000" w:rsidR="00000000" w:rsidRPr="00000000">
              <w:rPr>
                <w:rFonts w:ascii="Times New Roman" w:cs="Times New Roman" w:eastAsia="Times New Roman" w:hAnsi="Times New Roman"/>
                <w:sz w:val="24"/>
                <w:szCs w:val="24"/>
                <w:rtl w:val="0"/>
              </w:rPr>
              <w:t xml:space="preserve">participantes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receberão por e-mail o link de acesso para a aula remota que será realizada de 14h às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 pelo Google Meet. O link de acesso também estará disponível na plataforma Classroom. Após,</w:t>
            </w:r>
            <w:r w:rsidDel="00000000" w:rsidR="00000000" w:rsidRPr="00000000">
              <w:rPr>
                <w:rFonts w:ascii="Times New Roman" w:cs="Times New Roman" w:eastAsia="Times New Roman" w:hAnsi="Times New Roman"/>
                <w:sz w:val="24"/>
                <w:szCs w:val="24"/>
                <w:rtl w:val="0"/>
              </w:rPr>
              <w:t xml:space="preserve"> a primeira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atividade pr</w:t>
            </w:r>
            <w:r w:rsidDel="00000000" w:rsidR="00000000" w:rsidRPr="00000000">
              <w:rPr>
                <w:rFonts w:ascii="Times New Roman" w:cs="Times New Roman" w:eastAsia="Times New Roman" w:hAnsi="Times New Roman"/>
                <w:sz w:val="24"/>
                <w:szCs w:val="24"/>
                <w:rtl w:val="0"/>
              </w:rPr>
              <w:t xml:space="preserve">ática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ser</w:t>
            </w:r>
            <w:r w:rsidDel="00000000" w:rsidR="00000000" w:rsidRPr="00000000">
              <w:rPr>
                <w:rFonts w:ascii="Times New Roman" w:cs="Times New Roman" w:eastAsia="Times New Roman" w:hAnsi="Times New Roman"/>
                <w:sz w:val="24"/>
                <w:szCs w:val="24"/>
                <w:rtl w:val="0"/>
              </w:rPr>
              <w:t xml:space="preserve">á disponibilizada na plataforma Classroom</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para que os alunos possam praticar as funcionalidades abordadas no</w:t>
            </w:r>
            <w:r w:rsidDel="00000000" w:rsidR="00000000" w:rsidRPr="00000000">
              <w:rPr>
                <w:rFonts w:ascii="Times New Roman" w:cs="Times New Roman" w:eastAsia="Times New Roman" w:hAnsi="Times New Roman"/>
                <w:sz w:val="24"/>
                <w:szCs w:val="24"/>
                <w:rtl w:val="0"/>
              </w:rPr>
              <w:t xml:space="preserve"> ambiente de testes do SEI</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No dia 15/03</w:t>
            </w:r>
            <w:r w:rsidDel="00000000" w:rsidR="00000000" w:rsidRPr="00000000">
              <w:rPr>
                <w:rFonts w:ascii="Times New Roman" w:cs="Times New Roman" w:eastAsia="Times New Roman" w:hAnsi="Times New Roman"/>
                <w:sz w:val="24"/>
                <w:szCs w:val="24"/>
                <w:rtl w:val="0"/>
              </w:rPr>
              <w:t xml:space="preserve"> acontecerá o segundo encontro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de 14h às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 e o link de acesso também será divulgado na plataforma Classroom e por e-mail. </w:t>
            </w:r>
            <w:r w:rsidDel="00000000" w:rsidR="00000000" w:rsidRPr="00000000">
              <w:rPr>
                <w:rFonts w:ascii="Times New Roman" w:cs="Times New Roman" w:eastAsia="Times New Roman" w:hAnsi="Times New Roman"/>
                <w:sz w:val="24"/>
                <w:szCs w:val="24"/>
                <w:rtl w:val="0"/>
              </w:rPr>
              <w:t xml:space="preserve">Após, a segunda atividade prática será disponibilizada na plataforma Classroom.</w:t>
            </w:r>
            <w:r w:rsidDel="00000000" w:rsidR="00000000" w:rsidRPr="00000000">
              <w:rPr>
                <w:rtl w:val="0"/>
              </w:rPr>
            </w:r>
          </w:p>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76" w:lineRule="auto"/>
              <w:ind w:left="0" w:right="110" w:firstLine="0"/>
              <w:jc w:val="both"/>
              <w:rPr>
                <w:rFonts w:ascii="Times New Roman" w:cs="Times New Roman" w:eastAsia="Times New Roman" w:hAnsi="Times New Roman"/>
                <w:b w:val="0"/>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No dia 21/03</w:t>
            </w:r>
            <w:r w:rsidDel="00000000" w:rsidR="00000000" w:rsidRPr="00000000">
              <w:rPr>
                <w:rFonts w:ascii="Times New Roman" w:cs="Times New Roman" w:eastAsia="Times New Roman" w:hAnsi="Times New Roman"/>
                <w:sz w:val="24"/>
                <w:szCs w:val="24"/>
                <w:rtl w:val="0"/>
              </w:rPr>
              <w:t xml:space="preserve"> será realizado o último encontro, de 14h às 16h, e o link de acesso também será divulgado na plataforma Classroom e por e-mail. Neste encontro, os participantes terão a oportunidade de esclarecer as dúvidas sobre os conteúdos abordados nas últimas aulas e sobre as atividades práticas realizadas. Após, a terceira atividade será disponibilizada na plataforma Classroom. </w:t>
            </w:r>
            <w:r w:rsidDel="00000000" w:rsidR="00000000" w:rsidRPr="00000000">
              <w:rPr>
                <w:rtl w:val="0"/>
              </w:rPr>
            </w:r>
          </w:p>
          <w:p w:rsidR="00000000" w:rsidDel="00000000" w:rsidP="00000000" w:rsidRDefault="00000000" w:rsidRPr="00000000" w14:paraId="0000005A">
            <w:pPr>
              <w:spacing w:after="160" w:line="276" w:lineRule="auto"/>
              <w:ind w:right="1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correção dos exercícios poderá ser realizada durante as aulas e/ou pela plataforma Classroom, de forma assíncrona. O fórum de dúvidas poderá ser acessado pelo participante ao longo do período de duração do curso.</w:t>
            </w:r>
          </w:p>
        </w:tc>
      </w:tr>
    </w:tbl>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Avaliação do curso</w:t>
      </w:r>
      <w:r w:rsidDel="00000000" w:rsidR="00000000" w:rsidRPr="00000000">
        <w:rPr>
          <w:rtl w:val="0"/>
        </w:rPr>
      </w:r>
    </w:p>
    <w:tbl>
      <w:tblPr>
        <w:tblStyle w:val="Table7"/>
        <w:tblW w:w="10794.0" w:type="dxa"/>
        <w:jc w:val="left"/>
        <w:tblInd w:w="-44.0" w:type="dxa"/>
        <w:tblLayout w:type="fixed"/>
        <w:tblLook w:val="0000"/>
      </w:tblPr>
      <w:tblGrid>
        <w:gridCol w:w="10794"/>
        <w:tblGridChange w:id="0">
          <w:tblGrid>
            <w:gridCol w:w="10794"/>
          </w:tblGrid>
        </w:tblGridChange>
      </w:tblGrid>
      <w:tr>
        <w:trPr>
          <w:cantSplit w:val="0"/>
          <w:trHeight w:val="60"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decorrer do curso os servidores serão avaliados quanto </w:t>
            </w:r>
            <w:r w:rsidDel="00000000" w:rsidR="00000000" w:rsidRPr="00000000">
              <w:rPr>
                <w:rFonts w:ascii="Times New Roman" w:cs="Times New Roman" w:eastAsia="Times New Roman" w:hAnsi="Times New Roman"/>
                <w:sz w:val="24"/>
                <w:szCs w:val="24"/>
                <w:rtl w:val="0"/>
              </w:rPr>
              <w:t xml:space="preserve">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participação nas aulas e a realização </w:t>
            </w:r>
            <w:r w:rsidDel="00000000" w:rsidR="00000000" w:rsidRPr="00000000">
              <w:rPr>
                <w:rFonts w:ascii="Times New Roman" w:cs="Times New Roman" w:eastAsia="Times New Roman" w:hAnsi="Times New Roman"/>
                <w:sz w:val="24"/>
                <w:szCs w:val="24"/>
                <w:rtl w:val="0"/>
              </w:rPr>
              <w:t xml:space="preserve">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atividades propostas</w:t>
            </w:r>
            <w:r w:rsidDel="00000000" w:rsidR="00000000" w:rsidRPr="00000000">
              <w:rPr>
                <w:rFonts w:ascii="Times New Roman" w:cs="Times New Roman" w:eastAsia="Times New Roman" w:hAnsi="Times New Roman"/>
                <w:sz w:val="24"/>
                <w:szCs w:val="24"/>
                <w:rtl w:val="0"/>
              </w:rPr>
              <w:t xml:space="preserve">, sendo a pontuação distribuída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seguinte forma:</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articipação nos encontros </w:t>
            </w:r>
            <w:r w:rsidDel="00000000" w:rsidR="00000000" w:rsidRPr="00000000">
              <w:rPr>
                <w:rFonts w:ascii="Times New Roman" w:cs="Times New Roman" w:eastAsia="Times New Roman" w:hAnsi="Times New Roman"/>
                <w:sz w:val="24"/>
                <w:szCs w:val="24"/>
                <w:rtl w:val="0"/>
              </w:rPr>
              <w:t xml:space="preserve">remotos (13,3% para cada encontro)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w:t>
            </w:r>
            <w:r w:rsidDel="00000000" w:rsidR="00000000" w:rsidRPr="00000000">
              <w:rPr>
                <w:rFonts w:ascii="Times New Roman" w:cs="Times New Roman" w:eastAsia="Times New Roman" w:hAnsi="Times New Roman"/>
                <w:sz w:val="24"/>
                <w:szCs w:val="24"/>
                <w:rtl w:val="0"/>
              </w:rPr>
              <w:t xml:space="preserve">para a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ealização das atividades</w:t>
            </w:r>
            <w:r w:rsidDel="00000000" w:rsidR="00000000" w:rsidRPr="00000000">
              <w:rPr>
                <w:rFonts w:ascii="Times New Roman" w:cs="Times New Roman" w:eastAsia="Times New Roman" w:hAnsi="Times New Roman"/>
                <w:sz w:val="24"/>
                <w:szCs w:val="24"/>
                <w:rtl w:val="0"/>
              </w:rPr>
              <w:t xml:space="preserve"> assíncronas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distribuídas da seguinte forma:</w:t>
            </w:r>
          </w:p>
          <w:p w:rsidR="00000000" w:rsidDel="00000000" w:rsidP="00000000" w:rsidRDefault="00000000" w:rsidRPr="00000000" w14:paraId="00000062">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 - Primeira atividade prática</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 Segunda atividade prática</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 - Terceira atividade prática</w:t>
            </w: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Certificação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1" w:space="1" w:sz="4" w:val="single"/>
          <w:left w:color="000001" w:space="4" w:sz="4" w:val="single"/>
          <w:bottom w:color="000001" w:space="1" w:sz="4" w:val="single"/>
          <w:right w:color="000001" w:space="4" w:sz="4" w:val="single"/>
          <w:between w:space="0" w:sz="0" w:val="nil"/>
        </w:pBdr>
        <w:shd w:fill="auto" w:val="clear"/>
        <w:tabs>
          <w:tab w:val="left" w:leader="none" w:pos="180"/>
          <w:tab w:val="left" w:leader="none" w:pos="360"/>
        </w:tabs>
        <w:spacing w:after="200" w:before="20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certificado o(a) </w:t>
      </w:r>
      <w:r w:rsidDel="00000000" w:rsidR="00000000" w:rsidRPr="00000000">
        <w:rPr>
          <w:rFonts w:ascii="Times New Roman" w:cs="Times New Roman" w:eastAsia="Times New Roman" w:hAnsi="Times New Roman"/>
          <w:sz w:val="24"/>
          <w:szCs w:val="24"/>
          <w:rtl w:val="0"/>
        </w:rPr>
        <w:t xml:space="preserve">servidor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 obtiver, no mínimo,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de aproveitamento no curso, considerando os encontros virtuais e as atividades propostas.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tbl>
      <w:tblPr>
        <w:tblStyle w:val="Table8"/>
        <w:tblW w:w="10794.0" w:type="dxa"/>
        <w:jc w:val="left"/>
        <w:tblInd w:w="-44.0" w:type="dxa"/>
        <w:tblLayout w:type="fixed"/>
        <w:tblLook w:val="0000"/>
      </w:tblPr>
      <w:tblGrid>
        <w:gridCol w:w="10794"/>
        <w:tblGridChange w:id="0">
          <w:tblGrid>
            <w:gridCol w:w="10794"/>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w:t>
            </w:r>
            <w:r w:rsidDel="00000000" w:rsidR="00000000" w:rsidRPr="00000000">
              <w:rPr>
                <w:rtl w:val="0"/>
              </w:rPr>
            </w:r>
          </w:p>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 nº 12.527, de 18 de novembro de 2011 – Lei de Acesso à Informação</w:t>
            </w:r>
            <w:r w:rsidDel="00000000" w:rsidR="00000000" w:rsidRPr="00000000">
              <w:rPr>
                <w:rtl w:val="0"/>
              </w:rPr>
            </w:r>
          </w:p>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DECRETOS:</w:t>
            </w:r>
            <w:r w:rsidDel="00000000" w:rsidR="00000000" w:rsidRPr="00000000">
              <w:rPr>
                <w:rtl w:val="0"/>
              </w:rPr>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Decreto n° 8.539, de 8 de outubro de 2015 – Uso do meio eletrônico no Processo Administrativo</w:t>
            </w:r>
            <w:r w:rsidDel="00000000" w:rsidR="00000000" w:rsidRPr="00000000">
              <w:rPr>
                <w:rtl w:val="0"/>
              </w:rPr>
            </w:r>
          </w:p>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Decreto nº 7.724, de 16 de maio de 2012 – Regulamenta a Lei de Acesso à Informação</w:t>
            </w:r>
            <w:r w:rsidDel="00000000" w:rsidR="00000000" w:rsidRPr="00000000">
              <w:rPr>
                <w:rtl w:val="0"/>
              </w:rPr>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PORTARIAS:</w:t>
            </w:r>
            <w:r w:rsidDel="00000000" w:rsidR="00000000" w:rsidRPr="00000000">
              <w:rPr>
                <w:rtl w:val="0"/>
              </w:rPr>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1.042 de 04/11/2015 – Implantação do Processo Eletrônico no MEC</w:t>
            </w:r>
            <w:r w:rsidDel="00000000" w:rsidR="00000000" w:rsidRPr="00000000">
              <w:rPr>
                <w:rtl w:val="0"/>
              </w:rPr>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Interministerial nº 2.162, de 24/12/2015 – Altera vigência do NUP</w:t>
            </w:r>
            <w:r w:rsidDel="00000000" w:rsidR="00000000" w:rsidRPr="00000000">
              <w:rPr>
                <w:rtl w:val="0"/>
              </w:rPr>
            </w:r>
          </w:p>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Interministerial nº 1.677, de 07/10/2015 – Procedimentos de Protocolo</w:t>
            </w:r>
            <w:r w:rsidDel="00000000" w:rsidR="00000000" w:rsidRPr="00000000">
              <w:rPr>
                <w:rtl w:val="0"/>
              </w:rPr>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Interministerial nº 2.321, de 30/12/2014 – NUP</w:t>
            </w:r>
            <w:r w:rsidDel="00000000" w:rsidR="00000000" w:rsidRPr="00000000">
              <w:rPr>
                <w:rtl w:val="0"/>
              </w:rPr>
            </w:r>
          </w:p>
          <w:p w:rsidR="00000000" w:rsidDel="00000000" w:rsidP="00000000" w:rsidRDefault="00000000" w:rsidRPr="00000000" w14:paraId="0000007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Interministerial nº 2.320, de 30/12/2014 – Protocolo integrado</w:t>
            </w:r>
            <w:r w:rsidDel="00000000" w:rsidR="00000000" w:rsidRPr="00000000">
              <w:rPr>
                <w:rtl w:val="0"/>
              </w:rPr>
            </w:r>
          </w:p>
          <w:p w:rsidR="00000000" w:rsidDel="00000000" w:rsidP="00000000" w:rsidRDefault="00000000" w:rsidRPr="00000000" w14:paraId="0000007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leader="none" w:pos="0"/>
                <w:tab w:val="left" w:leader="none" w:pos="707"/>
                <w:tab w:val="left" w:leader="none" w:pos="1414"/>
                <w:tab w:val="left" w:leader="none" w:pos="2122"/>
                <w:tab w:val="left" w:leader="none" w:pos="2830"/>
                <w:tab w:val="left" w:leader="none" w:pos="3537"/>
                <w:tab w:val="left" w:leader="none" w:pos="4245"/>
                <w:tab w:val="left" w:leader="none" w:pos="4952"/>
                <w:tab w:val="left" w:leader="none" w:pos="5660"/>
                <w:tab w:val="left" w:leader="none" w:pos="6367"/>
                <w:tab w:val="left" w:leader="none" w:pos="7075"/>
                <w:tab w:val="left" w:leader="none" w:pos="7782"/>
                <w:tab w:val="left" w:leader="none" w:pos="8490"/>
                <w:tab w:val="left" w:leader="none" w:pos="9197"/>
                <w:tab w:val="left" w:leader="none" w:pos="9905"/>
                <w:tab w:val="left" w:leader="none" w:pos="10612"/>
                <w:tab w:val="left" w:leader="none" w:pos="11320"/>
                <w:tab w:val="left" w:leader="none" w:pos="12027"/>
                <w:tab w:val="left" w:leader="none" w:pos="12735"/>
                <w:tab w:val="left" w:leader="none" w:pos="13442"/>
                <w:tab w:val="left" w:leader="none" w:pos="141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Portaria Conjunta nº 3, de 16/12/2014 – Institui SEI como modelo de governança</w:t>
            </w:r>
            <w:r w:rsidDel="00000000" w:rsidR="00000000" w:rsidRPr="00000000">
              <w:rPr>
                <w:rtl w:val="0"/>
              </w:rPr>
            </w:r>
          </w:p>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SEI na UFF</w:t>
            </w:r>
            <w:r w:rsidDel="00000000" w:rsidR="00000000" w:rsidRPr="00000000">
              <w:rPr>
                <w:rtl w:val="0"/>
              </w:rPr>
            </w:r>
          </w:p>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http://www.uff.br/sei</w:t>
            </w:r>
            <w:r w:rsidDel="00000000" w:rsidR="00000000" w:rsidRPr="00000000">
              <w:rPr>
                <w:rtl w:val="0"/>
              </w:rPr>
            </w:r>
          </w:p>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Cursos de Capacitação na UFF</w:t>
            </w:r>
            <w:r w:rsidDel="00000000" w:rsidR="00000000" w:rsidRPr="00000000">
              <w:rPr>
                <w:rtl w:val="0"/>
              </w:rPr>
            </w:r>
          </w:p>
          <w:p w:rsidR="00000000" w:rsidDel="00000000" w:rsidP="00000000" w:rsidRDefault="00000000" w:rsidRPr="00000000" w14:paraId="0000007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http://www.uff.br/?q=capacitacao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Manuais Gerais e vídeos tutoriais</w:t>
            </w:r>
            <w:r w:rsidDel="00000000" w:rsidR="00000000" w:rsidRPr="00000000">
              <w:rPr>
                <w:rtl w:val="0"/>
              </w:rPr>
            </w:r>
          </w:p>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http://www.uff.br/?q=material-de-apoio-sei</w:t>
              </w:r>
            </w:hyperlink>
            <w:r w:rsidDel="00000000" w:rsidR="00000000" w:rsidRPr="00000000">
              <w:rPr>
                <w:rtl w:val="0"/>
              </w:rPr>
            </w:r>
          </w:p>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https://www.uff.br/sites/default/files/sites/default/files/imagens-das-noticias/pop_-_procedimento_operacional_padrao_-_v2.6.pdf</w:t>
              </w:r>
            </w:hyperlink>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13" w:type="default"/>
      <w:pgSz w:h="16838" w:w="11906" w:orient="portrait"/>
      <w:pgMar w:bottom="1021" w:top="567" w:left="709" w:right="7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Bdr>
          <w:top w:color="000000" w:space="0" w:sz="0" w:val="none"/>
          <w:left w:color="000000" w:space="0" w:sz="0" w:val="none"/>
          <w:bottom w:color="000000" w:space="0" w:sz="0" w:val="none"/>
          <w:right w:color="000000" w:space="0" w:sz="0" w:val="none"/>
        </w:pBd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ff.br/?q=material-de-apoio-sei" TargetMode="External"/><Relationship Id="rId10" Type="http://schemas.openxmlformats.org/officeDocument/2006/relationships/hyperlink" Target="http://www.uff.br/?q=capacitacao" TargetMode="External"/><Relationship Id="rId13" Type="http://schemas.openxmlformats.org/officeDocument/2006/relationships/footer" Target="footer1.xml"/><Relationship Id="rId12" Type="http://schemas.openxmlformats.org/officeDocument/2006/relationships/hyperlink" Target="https://www.uff.br/sites/default/files/sites/default/files/imagens-das-noticias/pop_-_procedimento_operacional_padrao_-_v2.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4dAuorGLVOgX3geqrCSlhvsHg==">CgMxLjAyCGguZ2pkZ3hzOAByITFBLVBiaUpETzlGM1hOM0xmVUd6ZlphaTBHUnZMNmsxRw==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